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DA" w:rsidRDefault="00B96345">
      <w:pPr>
        <w:spacing w:after="28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>EVUSA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 xml:space="preserve"> Region I International Vaulter Grant (</w:t>
      </w:r>
      <w:proofErr w:type="spellStart"/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>IVG</w:t>
      </w:r>
      <w:proofErr w:type="spellEnd"/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 xml:space="preserve">) Committee </w:t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ab/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ab/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ab/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ab/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tab/>
        <w:t>Last Updated September 08 2024</w:t>
      </w:r>
      <w:r>
        <w:rPr>
          <w:rFonts w:ascii="Palatino Linotype" w:eastAsia="Palatino Linotype" w:hAnsi="Palatino Linotype" w:cs="Palatino Linotype"/>
          <w:b/>
          <w:i/>
          <w:color w:val="000000"/>
          <w:sz w:val="16"/>
          <w:szCs w:val="16"/>
        </w:rPr>
        <w:br/>
      </w: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Toni Amoroso – Chairperson</w:t>
      </w: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br/>
        <w:t xml:space="preserve">Diana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Ghafouri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– Co</w:t>
      </w: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-Chair</w:t>
      </w: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br/>
        <w:t>Angela Amoia – Member</w:t>
      </w:r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br/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Wiebke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>Olamendi</w:t>
      </w:r>
      <w:proofErr w:type="spellEnd"/>
      <w:r>
        <w:rPr>
          <w:rFonts w:ascii="Palatino Linotype" w:eastAsia="Palatino Linotype" w:hAnsi="Palatino Linotype" w:cs="Palatino Linotype"/>
          <w:i/>
          <w:color w:val="000000"/>
          <w:sz w:val="16"/>
          <w:szCs w:val="16"/>
        </w:rPr>
        <w:t xml:space="preserve">– Member 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REGION I INTERNATIONAL VAULTER GRANT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IVG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 APPLICATION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br/>
        <w:t>INVITATION TO APPLY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</w:rPr>
        <w:t>Region I announces that Grants up to $500 are available to help International Vaulters with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their travel &amp; competition expenses. A total of $1,000 is available in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2025.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Some work t</w:t>
      </w:r>
      <w:r>
        <w:rPr>
          <w:rFonts w:ascii="Times New Roman" w:eastAsia="Times New Roman" w:hAnsi="Times New Roman" w:cs="Times New Roman"/>
          <w:b/>
          <w:i/>
          <w:color w:val="000000"/>
        </w:rPr>
        <w:t>o further the sport of vaulting and assist Region I with their goals is required in exchange for this funding. Attached is the application and we invite any eligible International Vaulter from Region I to apply. Priority will be given to new awardees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but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past awardees are not precluded from applying. 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GOALS OF REGION I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</w:rPr>
        <w:t>The specific goals of the Region are to provide more clinics, educational and leadership opportunities 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the most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number of vaulters possible in Region I, and support the overall growth and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 development of the Region, including increasing vaulter involvement. It is also our goal to recognize and support Region I International Vaulters.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I. STEP ONE: ELIGIBILITY CRITERIA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PLEASE BE SURE YOU MEET ALL ELIGIBILITY CRITERIA BEFORE YOU APPLY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u w:val="single"/>
        </w:rPr>
        <w:t>(If in doubt, reach out to a committee member listed above)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154CDA" w:rsidRDefault="00B96345">
      <w:pPr>
        <w:numPr>
          <w:ilvl w:val="0"/>
          <w:numId w:val="2"/>
        </w:numPr>
        <w:spacing w:before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The applicant must be currently registered with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EVUSA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in Region I. </w:t>
      </w:r>
    </w:p>
    <w:p w:rsidR="00154CDA" w:rsidRDefault="00B96345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The applicant must have competed in at least two (2)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EVUSA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&amp; Region I recognized competitions in the </w:t>
      </w:r>
      <w:r w:rsidRPr="003B0C98">
        <w:rPr>
          <w:rFonts w:ascii="Times New Roman" w:eastAsia="Times New Roman" w:hAnsi="Times New Roman" w:cs="Times New Roman"/>
          <w:b/>
          <w:color w:val="000000"/>
          <w:u w:val="single"/>
        </w:rPr>
        <w:t>past 12 months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154CDA" w:rsidRDefault="00B96345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appli</w:t>
      </w:r>
      <w:r>
        <w:rPr>
          <w:rFonts w:ascii="Times New Roman" w:eastAsia="Times New Roman" w:hAnsi="Times New Roman" w:cs="Times New Roman"/>
          <w:b/>
          <w:color w:val="000000"/>
        </w:rPr>
        <w:t xml:space="preserve">cant must have competed in at least one (1) CVI Competition within the </w:t>
      </w:r>
      <w:r w:rsidRPr="003B0C98">
        <w:rPr>
          <w:rFonts w:ascii="Times New Roman" w:eastAsia="Times New Roman" w:hAnsi="Times New Roman" w:cs="Times New Roman"/>
          <w:b/>
          <w:color w:val="000000"/>
          <w:u w:val="single"/>
        </w:rPr>
        <w:t>past 18 months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3B0C98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have plans to compete at an CVI competition by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Ju</w:t>
      </w:r>
      <w:r w:rsidR="003B0C98">
        <w:rPr>
          <w:rFonts w:ascii="Times New Roman" w:eastAsia="Times New Roman" w:hAnsi="Times New Roman" w:cs="Times New Roman"/>
          <w:b/>
          <w:color w:val="000000"/>
          <w:u w:val="single"/>
        </w:rPr>
        <w:t>ly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 w:rsidR="003B0C98">
        <w:rPr>
          <w:rFonts w:ascii="Times New Roman" w:eastAsia="Times New Roman" w:hAnsi="Times New Roman" w:cs="Times New Roman"/>
          <w:b/>
          <w:color w:val="000000"/>
          <w:u w:val="single"/>
        </w:rPr>
        <w:t>0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1, 2025.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54CDA" w:rsidRDefault="00B96345">
      <w:pPr>
        <w:numPr>
          <w:ilvl w:val="0"/>
          <w:numId w:val="2"/>
        </w:numPr>
        <w:spacing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The applicant must meet minimum required eligibility scores during application process. The minimum requi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red eligibility scores are aligned with the Pathways Program Developing or Elite Criteria found on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USEF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website (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https://www.usef.org/compete/disci</w:t>
        </w:r>
        <w:r>
          <w:rPr>
            <w:rFonts w:ascii="Times New Roman" w:eastAsia="Times New Roman" w:hAnsi="Times New Roman" w:cs="Times New Roman"/>
            <w:b/>
            <w:color w:val="0563C1"/>
            <w:u w:val="single"/>
          </w:rPr>
          <w:t>plines/vaulting/vaulting-program-structure-pathways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) OR have been invited into the Pathways Program on a special exception. 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APPLICATION DEADLINE: </w:t>
      </w:r>
      <w:r w:rsidR="003B0C98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/</w:t>
      </w:r>
      <w:r w:rsidR="003B0C98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06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</w:rPr>
        <w:t>/25, 11:59 pm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br/>
        <w:t>II. STEP TWO: APPLY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If you meet the criteria above, you may apply on the attached application. It is recommended that you e-mail Toni Amoroso, Chairperson, to arrange to discuss how to write the most effective application. </w:t>
      </w:r>
      <w:r>
        <w:rPr>
          <w:rFonts w:ascii="Times New Roman" w:eastAsia="Times New Roman" w:hAnsi="Times New Roman" w:cs="Times New Roman"/>
          <w:color w:val="0260BF"/>
        </w:rPr>
        <w:t xml:space="preserve">canyonvltr@yahoo.com 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 xml:space="preserve">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EVUSA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REGION I INTERNATION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AL VAULTER GRANT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IVG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>) APPLICATION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(Complete this application completely and carefully.)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APPLICANT INFORMATION/ELIGIBILITY: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This information will be used to verify your eligibility to apply. 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7375"/>
      </w:tblGrid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Applicant: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Address: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City / State / Zip Code: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Phone: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Email: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Present Region I Club Name: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EVUSA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Membership #: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USEF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Membership #: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34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FEI Membership #:</w:t>
            </w:r>
          </w:p>
        </w:tc>
        <w:tc>
          <w:tcPr>
            <w:tcW w:w="737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54CDA" w:rsidRDefault="00B96345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  <w:t xml:space="preserve">What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EVUSA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&amp; Region I Recognized Competition(s)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have you competed in during the past 12 months? </w:t>
      </w: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54CDA">
        <w:tc>
          <w:tcPr>
            <w:tcW w:w="5395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Competition</w:t>
            </w:r>
          </w:p>
        </w:tc>
        <w:tc>
          <w:tcPr>
            <w:tcW w:w="5395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&amp; Location of Competition</w:t>
            </w: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54CDA" w:rsidRDefault="00B96345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What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</w:rPr>
        <w:t>CVI’s</w:t>
      </w:r>
      <w:proofErr w:type="spellEnd"/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have you competed in during the past 18 months? </w:t>
      </w: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54CDA">
        <w:tc>
          <w:tcPr>
            <w:tcW w:w="5395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Competition</w:t>
            </w:r>
          </w:p>
        </w:tc>
        <w:tc>
          <w:tcPr>
            <w:tcW w:w="5395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 &amp; Location of Competition</w:t>
            </w: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54CDA" w:rsidRDefault="00154CDA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</w:p>
    <w:p w:rsidR="00154CDA" w:rsidRDefault="00B96345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:rsidR="00154CDA" w:rsidRDefault="00154CDA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2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1080"/>
        <w:gridCol w:w="990"/>
        <w:gridCol w:w="1620"/>
      </w:tblGrid>
      <w:tr w:rsidR="00154CDA">
        <w:tc>
          <w:tcPr>
            <w:tcW w:w="7015" w:type="dxa"/>
          </w:tcPr>
          <w:p w:rsidR="00154CDA" w:rsidRDefault="00154C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080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YES</w:t>
            </w:r>
          </w:p>
        </w:tc>
        <w:tc>
          <w:tcPr>
            <w:tcW w:w="990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1620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YEAR</w:t>
            </w:r>
          </w:p>
        </w:tc>
      </w:tr>
      <w:tr w:rsidR="00154CDA">
        <w:tc>
          <w:tcPr>
            <w:tcW w:w="70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Have you qualified for a Junior or Senior World Championships or an International Invitational (ex.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CHIO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Aachen) as an Individual,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, or Squad member in the past 24 months?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108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4CDA">
        <w:tc>
          <w:tcPr>
            <w:tcW w:w="70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Are you in the Pathways Program?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108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N/A</w:t>
            </w:r>
          </w:p>
        </w:tc>
      </w:tr>
      <w:tr w:rsidR="00154CDA">
        <w:tc>
          <w:tcPr>
            <w:tcW w:w="701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Were you accepted into Pathways based on your scores?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If Yes, list your current Pathways event, level, and 2 scores below.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If your scores increased between time of application and close of application, you may resubmit your scores. Refer to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USEF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websi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 for Pathways criteria.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108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0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0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N/A</w:t>
            </w:r>
          </w:p>
        </w:tc>
      </w:tr>
    </w:tbl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54CDA"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MARK YOUR PATHWAYS EVENT:  </w:t>
            </w:r>
          </w:p>
        </w:tc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 YOUR PATHWAYS LEVEL: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</w:p>
        </w:tc>
      </w:tr>
      <w:tr w:rsidR="00154CDA"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_____ Individual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_____ Pas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Duex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_____ Squad</w:t>
            </w:r>
          </w:p>
        </w:tc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_____ 1* Developing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_____ 2* Junior Developing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_____ 2* Junior Elite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_____ 2* Youth Developing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_____ 2* Youth Elite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_____ Senior Developing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_____ Senior Elite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</w:tr>
    </w:tbl>
    <w:p w:rsidR="00154CDA" w:rsidRDefault="00154CDA">
      <w:pPr>
        <w:spacing w:before="280" w:after="28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4588"/>
        <w:gridCol w:w="3597"/>
      </w:tblGrid>
      <w:tr w:rsidR="00154CDA">
        <w:tc>
          <w:tcPr>
            <w:tcW w:w="2605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</w:t>
            </w:r>
          </w:p>
        </w:tc>
        <w:tc>
          <w:tcPr>
            <w:tcW w:w="4588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COMPETITION NAME</w:t>
            </w:r>
          </w:p>
        </w:tc>
        <w:tc>
          <w:tcPr>
            <w:tcW w:w="3597" w:type="dxa"/>
          </w:tcPr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SCORE</w:t>
            </w:r>
          </w:p>
        </w:tc>
      </w:tr>
      <w:tr w:rsidR="00154CDA">
        <w:tc>
          <w:tcPr>
            <w:tcW w:w="260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4588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97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54CDA">
        <w:tc>
          <w:tcPr>
            <w:tcW w:w="260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</w:tc>
        <w:tc>
          <w:tcPr>
            <w:tcW w:w="4588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97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54CDA" w:rsidRDefault="0068304D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Please use the space below to attach screen shots of scores from the above competitions.</w:t>
      </w:r>
    </w:p>
    <w:p w:rsidR="00154CDA" w:rsidRDefault="00B96345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1. TELL US HOW THIS FUNDING WILL BE BENEFICIAL TO YOU: </w:t>
      </w: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</w:rPr>
      </w:pPr>
    </w:p>
    <w:p w:rsidR="00154CDA" w:rsidRDefault="00B96345">
      <w:pPr>
        <w:tabs>
          <w:tab w:val="left" w:pos="7820"/>
        </w:tabs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III. STEP THREE: PROJECT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Select your project from </w:t>
      </w:r>
      <w:r>
        <w:rPr>
          <w:rFonts w:ascii="Times New Roman" w:eastAsia="Times New Roman" w:hAnsi="Times New Roman" w:cs="Times New Roman"/>
          <w:b/>
          <w:color w:val="000000"/>
        </w:rPr>
        <w:t xml:space="preserve">EXHIBIT A </w:t>
      </w:r>
      <w:r>
        <w:rPr>
          <w:rFonts w:ascii="Times New Roman" w:eastAsia="Times New Roman" w:hAnsi="Times New Roman" w:cs="Times New Roman"/>
          <w:color w:val="000000"/>
        </w:rPr>
        <w:t xml:space="preserve">attached below.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Attach a written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detailed </w:t>
      </w:r>
      <w:r>
        <w:rPr>
          <w:rFonts w:ascii="Times New Roman" w:eastAsia="Times New Roman" w:hAnsi="Times New Roman" w:cs="Times New Roman"/>
          <w:color w:val="000000"/>
        </w:rPr>
        <w:t xml:space="preserve">description of the work for Region I you are proposing to do to receive this funding. The description should include: </w:t>
      </w:r>
    </w:p>
    <w:p w:rsidR="00154CDA" w:rsidRDefault="00B96345">
      <w:pPr>
        <w:numPr>
          <w:ilvl w:val="0"/>
          <w:numId w:val="3"/>
        </w:numP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Project Description </w:t>
      </w:r>
    </w:p>
    <w:p w:rsidR="00154CDA" w:rsidRDefault="00B96345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Detailed Plan: How you plan to accomplish the project. Include locatio</w:t>
      </w:r>
      <w:r>
        <w:rPr>
          <w:rFonts w:ascii="Times New Roman" w:eastAsia="Times New Roman" w:hAnsi="Times New Roman" w:cs="Times New Roman"/>
          <w:color w:val="000000"/>
        </w:rPr>
        <w:t xml:space="preserve">n, achievable timeline and realistic budget. </w:t>
      </w:r>
    </w:p>
    <w:p w:rsidR="00154CDA" w:rsidRDefault="00B96345">
      <w:pPr>
        <w:numPr>
          <w:ilvl w:val="0"/>
          <w:numId w:val="3"/>
        </w:numP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Project Purpose: Explain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how the </w:t>
      </w:r>
      <w:r>
        <w:rPr>
          <w:rFonts w:ascii="Times New Roman" w:eastAsia="Times New Roman" w:hAnsi="Times New Roman" w:cs="Times New Roman"/>
          <w:color w:val="000000"/>
        </w:rPr>
        <w:t xml:space="preserve">project will help Region I meet specific goals (See goals on page 1 of this packet)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 may contact you for clarification and additional details if needed.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 will notify you if your project is approved for funding. You will have approximately 12 months from this notification to complete the project. 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Project </w:t>
      </w:r>
      <w:r>
        <w:rPr>
          <w:rFonts w:ascii="Times New Roman" w:eastAsia="Times New Roman" w:hAnsi="Times New Roman" w:cs="Times New Roman"/>
          <w:color w:val="000000"/>
          <w:u w:val="single"/>
        </w:rPr>
        <w:t>Summaries are due 30 days from the completion of the project.</w:t>
      </w:r>
      <w:r>
        <w:rPr>
          <w:rFonts w:ascii="Times New Roman" w:eastAsia="Times New Roman" w:hAnsi="Times New Roman" w:cs="Times New Roman"/>
          <w:color w:val="000000"/>
        </w:rPr>
        <w:t xml:space="preserve"> The Project Summary Form will be provided to you if your project is funded.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IV. STEP FOUR: SELECTION</w:t>
      </w:r>
    </w:p>
    <w:p w:rsidR="00154CDA" w:rsidRDefault="00B96345">
      <w:pPr>
        <w:pBdr>
          <w:bottom w:val="single" w:sz="12" w:space="1" w:color="000000"/>
        </w:pBd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Applications are awarded based on a </w:t>
      </w:r>
      <w:r>
        <w:rPr>
          <w:rFonts w:ascii="Times New Roman" w:eastAsia="Times New Roman" w:hAnsi="Times New Roman" w:cs="Times New Roman"/>
          <w:b/>
          <w:color w:val="000000"/>
        </w:rPr>
        <w:t>Scoring Rubric</w:t>
      </w:r>
      <w:r>
        <w:rPr>
          <w:rFonts w:ascii="Times New Roman" w:eastAsia="Times New Roman" w:hAnsi="Times New Roman" w:cs="Times New Roman"/>
          <w:color w:val="000000"/>
        </w:rPr>
        <w:t>.  This Scoring Rubric will be sent with th</w:t>
      </w:r>
      <w:r>
        <w:rPr>
          <w:rFonts w:ascii="Times New Roman" w:eastAsia="Times New Roman" w:hAnsi="Times New Roman" w:cs="Times New Roman"/>
          <w:color w:val="000000"/>
        </w:rPr>
        <w:t xml:space="preserve">is application. Multiple awards of varying amounts may be given at the discretion of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Committee. All applicants will receive notification by e-mail if their project is awarded and scoring will be provided to the applicant. Applicants who are not awa</w:t>
      </w:r>
      <w:r>
        <w:rPr>
          <w:rFonts w:ascii="Times New Roman" w:eastAsia="Times New Roman" w:hAnsi="Times New Roman" w:cs="Times New Roman"/>
          <w:color w:val="000000"/>
        </w:rPr>
        <w:t xml:space="preserve">rded may apply again for the following year. Applicants are encouraged to attend the Region I Board Meetings to hear the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Committee’s recommendations for awarding. Every club in our region has a vote! Check with your Coach to see who your board delegate</w:t>
      </w:r>
      <w:r>
        <w:rPr>
          <w:rFonts w:ascii="Times New Roman" w:eastAsia="Times New Roman" w:hAnsi="Times New Roman" w:cs="Times New Roman"/>
          <w:color w:val="000000"/>
        </w:rPr>
        <w:t xml:space="preserve">/representative is. Region Board and/or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 members who are parents of an applicant will recuse themselves from the vote.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V. STEP FIVE: FUNDING AWARDS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Funding will be provided after the work is complete and a Project Summary is submitted. Please see the following </w:t>
      </w:r>
      <w:r>
        <w:rPr>
          <w:rFonts w:ascii="Times New Roman" w:eastAsia="Times New Roman" w:hAnsi="Times New Roman" w:cs="Times New Roman"/>
          <w:b/>
          <w:color w:val="000000"/>
        </w:rPr>
        <w:t>Funding Timeline:</w:t>
      </w: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54CDA">
        <w:tc>
          <w:tcPr>
            <w:tcW w:w="5395" w:type="dxa"/>
          </w:tcPr>
          <w:p w:rsidR="00154CDA" w:rsidRDefault="00154CD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DATES</w:t>
            </w:r>
          </w:p>
        </w:tc>
      </w:tr>
      <w:tr w:rsidR="00154CDA"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Applications Accepted by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IVG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Committee</w:t>
            </w:r>
          </w:p>
        </w:tc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01/27/25 – 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/06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/25</w:t>
            </w:r>
          </w:p>
        </w:tc>
      </w:tr>
      <w:tr w:rsidR="00154CDA"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Projects &amp; Project Summaries must be completed</w:t>
            </w:r>
          </w:p>
        </w:tc>
        <w:tc>
          <w:tcPr>
            <w:tcW w:w="5395" w:type="dxa"/>
          </w:tcPr>
          <w:p w:rsidR="00154CDA" w:rsidRDefault="00B9634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12/31/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154CDA" w:rsidRDefault="00154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</w:rPr>
      </w:pPr>
    </w:p>
    <w:p w:rsidR="00154CDA" w:rsidRDefault="00B963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____________________________________       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Applicant Signature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Date 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*Return application via email to </w:t>
      </w:r>
      <w:r>
        <w:rPr>
          <w:rFonts w:ascii="Times New Roman" w:eastAsia="Times New Roman" w:hAnsi="Times New Roman" w:cs="Times New Roman"/>
          <w:color w:val="0260BF"/>
          <w:sz w:val="20"/>
          <w:szCs w:val="20"/>
        </w:rPr>
        <w:t xml:space="preserve">Canyonvltr@yahoo.com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June 06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33"/>
          <w:szCs w:val="33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 2025 11:59 PM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LATE APPLICATIONS WILL NOT BE ACCEPTED.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you have any questions, contact Toni Amoroso, Chairperson, Region I International Vaulter Grant Committee at (805) 990-3331 or by email at </w:t>
      </w:r>
      <w:r>
        <w:rPr>
          <w:rFonts w:ascii="Times New Roman" w:eastAsia="Times New Roman" w:hAnsi="Times New Roman" w:cs="Times New Roman"/>
          <w:color w:val="0260BF"/>
          <w:sz w:val="20"/>
          <w:szCs w:val="20"/>
        </w:rPr>
        <w:t xml:space="preserve">Canyonvltr@yahoo.com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 Diana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Ghafouri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 (714) 317-9594 or by email at </w:t>
      </w:r>
      <w:r>
        <w:rPr>
          <w:rFonts w:ascii="Times New Roman" w:eastAsia="Times New Roman" w:hAnsi="Times New Roman" w:cs="Times New Roman"/>
          <w:color w:val="0260BF"/>
          <w:sz w:val="20"/>
          <w:szCs w:val="20"/>
        </w:rPr>
        <w:t>DMGhafouri@verizon.net</w:t>
      </w:r>
    </w:p>
    <w:p w:rsidR="00154CDA" w:rsidRDefault="00154CDA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4CDA" w:rsidRDefault="00B96345">
      <w:pPr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EXHIBIT A</w:t>
      </w:r>
    </w:p>
    <w:p w:rsidR="00154CDA" w:rsidRDefault="00B96345">
      <w:pPr>
        <w:numPr>
          <w:ilvl w:val="0"/>
          <w:numId w:val="4"/>
        </w:numPr>
        <w:spacing w:before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Provid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a Clinic for vaulters in Region I. See attached clinic guidelines,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EXHIBIT B.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Write an Article for publication on Region I Website, Face Book Page or any other publication that includes pictures and thoughtful recap of your international competition.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Create an appropriate and informational Social Media presence for Region I for _??__months. (Insert the number of months you propose to do this)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Prepare a Video Clinic and post on YouTube for the Region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hour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video minimum).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Hold a committee position for Region I. There are several committees you could be assigned to including Regionals, Scholarships, International Vaulter Grants, Nominations, or Bylaws.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Create a video/YouTube demonstrating Compulsory or Freestyle moves, bre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aking the moves down into stages with explanations.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4"/>
        </w:numPr>
        <w:spacing w:after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Propose an original project you feel our Region needs. </w:t>
      </w:r>
    </w:p>
    <w:p w:rsidR="00154CDA" w:rsidRDefault="00154CDA">
      <w:pPr>
        <w:spacing w:before="280" w:after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EXHIBIT B</w:t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Region I Board is very interested in hosting or helping to create more clinic opportunities in our Region. We have prioritized this fun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ding for that purpose. The Clinic Guidelines and sample proposal, with budget below, are for your use in designing a clinic,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that is the project you choose to propose.</w:t>
      </w:r>
    </w:p>
    <w:p w:rsidR="00154CDA" w:rsidRDefault="00B96345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Clinic Guidelines for Region I International Vaulter Funding Eligibility</w:t>
      </w:r>
    </w:p>
    <w:p w:rsidR="00154CDA" w:rsidRDefault="00154CD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4CDA" w:rsidRDefault="00B96345">
      <w:pPr>
        <w:numPr>
          <w:ilvl w:val="0"/>
          <w:numId w:val="1"/>
        </w:numPr>
        <w:spacing w:before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person 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team may manage/host a clinic and receive a set fee/profit for their time from the funding provided by Region I. The set fee will be determined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IVG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Committee.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 International Vaulter can manage their own clinic and receive the full funding from Region I grant money including the money intended for a manager Fee.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clinic can charge a reasonable fee to each vaulter who signs up for the clinic.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Internat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ional Vaulting Clinician may make additional money from these fees after expenses.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clinic should focus on an area of the Clinician’s expertise.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Clinic lengths and content should be conducive to the participant’s age and skill level. </w:t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facility 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sed should be safe and have appropriate facilities for a clinic,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restrooms, shade, indoors if necessary, barrels, mats, horses, parking; all as necessary.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clinic should be promoted on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EVUSA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Region I Website and social media, as well as through the Region I Board announcements and meeting minutes at least 30 days in advance of the clinic.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Clinics should target Region I vaulters and be affordable.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Virtual clinics will be eligible to be considered for funding.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54CDA" w:rsidRDefault="00B96345">
      <w:pPr>
        <w:numPr>
          <w:ilvl w:val="0"/>
          <w:numId w:val="1"/>
        </w:numPr>
        <w:spacing w:after="2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Project Summary report is to be submitted within 30 days of the clinic after which the organizer will be funded the agreed upon amount. </w:t>
      </w:r>
    </w:p>
    <w:p w:rsidR="00154CDA" w:rsidRDefault="00B96345">
      <w:pPr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:rsidR="00154CDA" w:rsidRDefault="00B963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lastRenderedPageBreak/>
        <w:t>* SAMPLE * SAMPLE * SAMPLE * SAMPLE * SAMPLE * SAM</w:t>
      </w:r>
      <w:r>
        <w:rPr>
          <w:rFonts w:ascii="Calibri" w:eastAsia="Calibri" w:hAnsi="Calibri" w:cs="Calibri"/>
          <w:color w:val="000000"/>
          <w:sz w:val="40"/>
          <w:szCs w:val="40"/>
        </w:rPr>
        <w:t xml:space="preserve">PLE * </w:t>
      </w:r>
      <w:r>
        <w:rPr>
          <w:rFonts w:ascii="Calibri" w:eastAsia="Calibri" w:hAnsi="Calibri" w:cs="Calibri"/>
          <w:color w:val="000000"/>
          <w:sz w:val="40"/>
          <w:szCs w:val="40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  <w:t>Please create your own description and proposal.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PROJECT DETAILS: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am requesting $500 to conduct an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eight hour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clinic, (actually 2, 4 hour clinics) which includes lunch for up to 16 vaulters total. Because of our remote ranch location, lunch need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 to be provided. This free time also allows time for vaulters to make new friendships and develop bonds with other vaulters.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This project is in-line with the Region Goal of creating more clinic opportunities for vaulters. Moreover, since it is in Tim- Bu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ck-Too, and there is little to no other clinic opportunities for the vaulters in this remote rural community, we are reaching more vaulters than could normally attend a clinic.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BUDGET: </w:t>
      </w:r>
    </w:p>
    <w:tbl>
      <w:tblPr>
        <w:tblStyle w:val="a6"/>
        <w:tblW w:w="7015" w:type="dxa"/>
        <w:jc w:val="center"/>
        <w:tblLayout w:type="fixed"/>
        <w:tblLook w:val="0400" w:firstRow="0" w:lastRow="0" w:firstColumn="0" w:lastColumn="0" w:noHBand="0" w:noVBand="1"/>
      </w:tblPr>
      <w:tblGrid>
        <w:gridCol w:w="4675"/>
        <w:gridCol w:w="2340"/>
      </w:tblGrid>
      <w:tr w:rsidR="00154CDA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" cy="14605"/>
                  <wp:effectExtent l="0" t="0" r="0" b="0"/>
                  <wp:docPr id="7" name="image1.png" descr="page8image8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8image897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COST</w:t>
            </w:r>
          </w:p>
          <w:p w:rsidR="00154CDA" w:rsidRDefault="00B9634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" cy="14605"/>
                  <wp:effectExtent l="0" t="0" r="0" b="0"/>
                  <wp:docPr id="9" name="image1.png" descr="page8image10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8image10640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CDA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Lunch for 18 (16 vaulters, 1 clinician, 1 assistant)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$180 </w:t>
            </w:r>
          </w:p>
        </w:tc>
      </w:tr>
      <w:tr w:rsidR="00154CDA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hours Coaching @ $30/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" cy="14605"/>
                  <wp:effectExtent l="0" t="0" r="0" b="0"/>
                  <wp:docPr id="8" name="image1.png" descr="page8image1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8image14808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$240 </w:t>
            </w:r>
          </w:p>
        </w:tc>
      </w:tr>
      <w:tr w:rsidR="00154CDA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" cy="14605"/>
                  <wp:effectExtent l="0" t="0" r="0" b="0"/>
                  <wp:docPr id="11" name="image1.png" descr="page8image1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8image16048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Misc. Supplies (markers, nametags, snacks)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4605" cy="14605"/>
                  <wp:effectExtent l="0" t="0" r="0" b="0"/>
                  <wp:docPr id="10" name="image1.png" descr="page8image1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age8image1753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$80 </w:t>
            </w:r>
          </w:p>
        </w:tc>
      </w:tr>
      <w:tr w:rsidR="00154CDA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TOTAL COST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CDA" w:rsidRDefault="00B963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$500 </w:t>
            </w:r>
          </w:p>
        </w:tc>
      </w:tr>
    </w:tbl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WHAT: </w:t>
      </w:r>
      <w:r>
        <w:rPr>
          <w:rFonts w:ascii="Calibri" w:eastAsia="Calibri" w:hAnsi="Calibri" w:cs="Calibri"/>
          <w:color w:val="000000"/>
          <w:sz w:val="22"/>
          <w:szCs w:val="22"/>
        </w:rPr>
        <w:t>In person Vaulting Clinic by Valerie Vaulter, from California Poppy Vaulters in Region I. I will be teaching Compulsories. Vaulters will be grouped by ability level and will practice on the ground and barrel as well as the horse. After general discussion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nd demonstration, vaulters will rotate between stations for individual practice under my direction. I will provide 2 barrels and I invite any vaulters who have a barrel to bring it. Mats will be provided. Please bring a water bottle and I do have a refill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station. The arena is shaded and there are accessible bathrooms. Free parking is available on the property. Parents are welcome to stay and watch from the designated viewing area.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WHERE: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Vaulting Pony Acres, 123 Poppy Lane, Lancaster, CA, 12345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WHEN: </w:t>
      </w:r>
      <w:r>
        <w:rPr>
          <w:rFonts w:ascii="Calibri" w:eastAsia="Calibri" w:hAnsi="Calibri" w:cs="Calibri"/>
          <w:color w:val="000000"/>
          <w:sz w:val="22"/>
          <w:szCs w:val="22"/>
        </w:rPr>
        <w:t>Sat</w:t>
      </w:r>
      <w:r>
        <w:rPr>
          <w:rFonts w:ascii="Calibri" w:eastAsia="Calibri" w:hAnsi="Calibri" w:cs="Calibri"/>
          <w:color w:val="000000"/>
          <w:sz w:val="22"/>
          <w:szCs w:val="22"/>
        </w:rPr>
        <w:t>urday, June 15</w:t>
      </w: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from 8-12 for Walk/Trot vaulters and 1-5 for all canter vaulters. There will be 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1 hour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lunch break from 12-1 with lunch provided. Walk/Trot vaulters are welcome to stay and watch the upper level vaulters. Canter vaulters are invited to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ome at 12:00 for lunch before their clinic.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WHO: </w:t>
      </w:r>
      <w:r>
        <w:rPr>
          <w:rFonts w:ascii="Calibri" w:eastAsia="Calibri" w:hAnsi="Calibri" w:cs="Calibri"/>
          <w:color w:val="000000"/>
          <w:sz w:val="22"/>
          <w:szCs w:val="22"/>
        </w:rPr>
        <w:t>Open to all Region I Vaulters. Clinic has 16 spots. Priority is given to Region I Vaulters. Registration deadline is June 10th and the registration form and payment in full reserves your place. After June 1</w:t>
      </w:r>
      <w:r>
        <w:rPr>
          <w:rFonts w:ascii="Calibri" w:eastAsia="Calibri" w:hAnsi="Calibri" w:cs="Calibri"/>
          <w:color w:val="000000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z w:val="23"/>
          <w:szCs w:val="23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any open spots may be filled by out of region vaulters. I will maintain a waiting list in case someone gets sick or has to back out. If I can fill your spot, you will receive a full refund. </w:t>
      </w:r>
    </w:p>
    <w:p w:rsidR="00154CDA" w:rsidRDefault="00B96345">
      <w:pPr>
        <w:spacing w:before="280"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COST: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$50 per vaulter, made payable to Valerie Vaulter. </w:t>
      </w:r>
    </w:p>
    <w:p w:rsidR="00154CDA" w:rsidRDefault="00B96345">
      <w:pP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KETING: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I will promote the clinic on Social Media, including the Region I website, my club website, my Instagram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FaceBook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word of mouth. I will work with the Region Secretary to e-mail each team in Region I with information about the event. </w:t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40"/>
          <w:szCs w:val="40"/>
        </w:rPr>
        <w:t>* SA</w:t>
      </w:r>
      <w:r>
        <w:rPr>
          <w:rFonts w:ascii="Calibri" w:eastAsia="Calibri" w:hAnsi="Calibri" w:cs="Calibri"/>
          <w:color w:val="000000"/>
          <w:sz w:val="40"/>
          <w:szCs w:val="40"/>
        </w:rPr>
        <w:t>MPLE * SAMPLE * SAMPLE * SAMPLE * SAMPLE * SAMPLE *</w:t>
      </w:r>
    </w:p>
    <w:sectPr w:rsidR="00154CD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">
    <w:altName w:val="Calibri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E3B"/>
    <w:multiLevelType w:val="multilevel"/>
    <w:tmpl w:val="946EA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9444A1E"/>
    <w:multiLevelType w:val="multilevel"/>
    <w:tmpl w:val="70E2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DE859B7"/>
    <w:multiLevelType w:val="multilevel"/>
    <w:tmpl w:val="1E5C3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911106D"/>
    <w:multiLevelType w:val="multilevel"/>
    <w:tmpl w:val="B0C4E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DA"/>
    <w:rsid w:val="000368DE"/>
    <w:rsid w:val="00154CDA"/>
    <w:rsid w:val="003B0C98"/>
    <w:rsid w:val="003B3D86"/>
    <w:rsid w:val="0068304D"/>
    <w:rsid w:val="00B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7FEF2"/>
  <w15:docId w15:val="{AF39DB24-1EEC-6942-9304-1C34833A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" w:eastAsia="Avenir" w:hAnsi="Avenir" w:cs="Avenir"/>
        <w:color w:val="1A1A1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left"/>
    <w:basedOn w:val="Normal"/>
    <w:next w:val="Normal"/>
    <w:link w:val="Heading1Char"/>
    <w:uiPriority w:val="9"/>
    <w:qFormat/>
    <w:rsid w:val="00FA238B"/>
    <w:pPr>
      <w:keepNext/>
      <w:keepLines/>
      <w:spacing w:before="240"/>
      <w:outlineLvl w:val="0"/>
    </w:pPr>
    <w:rPr>
      <w:rFonts w:ascii="Avenir Roman" w:eastAsiaTheme="majorEastAsia" w:hAnsi="Avenir Roman" w:cstheme="majorBidi"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section left Char"/>
    <w:basedOn w:val="DefaultParagraphFont"/>
    <w:link w:val="Heading1"/>
    <w:uiPriority w:val="9"/>
    <w:rsid w:val="00FA238B"/>
    <w:rPr>
      <w:rFonts w:ascii="Avenir Roman" w:eastAsiaTheme="majorEastAsia" w:hAnsi="Avenir Roman" w:cstheme="majorBidi"/>
      <w:color w:val="2F5496" w:themeColor="accent1" w:themeShade="BF"/>
      <w:szCs w:val="32"/>
    </w:rPr>
  </w:style>
  <w:style w:type="paragraph" w:styleId="NormalWeb">
    <w:name w:val="Normal (Web)"/>
    <w:basedOn w:val="Normal"/>
    <w:uiPriority w:val="99"/>
    <w:semiHidden/>
    <w:unhideWhenUsed/>
    <w:rsid w:val="004449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3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3802"/>
    <w:rPr>
      <w:rFonts w:ascii="Courier New" w:eastAsia="Times New Roman" w:hAnsi="Courier New" w:cs="Courier New"/>
      <w:color w:val="auto"/>
      <w:sz w:val="20"/>
      <w:szCs w:val="20"/>
    </w:rPr>
  </w:style>
  <w:style w:type="table" w:styleId="TableGrid">
    <w:name w:val="Table Grid"/>
    <w:basedOn w:val="TableNormal"/>
    <w:uiPriority w:val="39"/>
    <w:rsid w:val="0077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064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ef.org/compete/disciplines/vaulting/vaulting-program-structure-pathway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drk8Opq4B6gnQojj7TZnA+0Aaw==">CgMxLjAyCGguZ2pkZ3hzOAByITE1LWhjUTRvYlYtaFFGdjFxQVpzSVRvZFRfak1jQ1hJeA==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dcterms:created xsi:type="dcterms:W3CDTF">2024-08-20T15:50:00Z</dcterms:created>
  <dcterms:modified xsi:type="dcterms:W3CDTF">2025-01-17T04:54:00Z</dcterms:modified>
</cp:coreProperties>
</file>